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12" w:rsidRPr="003F631F" w:rsidRDefault="004F5BFE" w:rsidP="00AA658C">
      <w:pPr>
        <w:jc w:val="center"/>
        <w:rPr>
          <w:b/>
          <w:color w:val="000000"/>
          <w:spacing w:val="-3"/>
        </w:rPr>
      </w:pPr>
      <w:r w:rsidRPr="003F631F">
        <w:rPr>
          <w:b/>
          <w:color w:val="000000"/>
          <w:spacing w:val="-3"/>
        </w:rPr>
        <w:t xml:space="preserve">7. </w:t>
      </w:r>
      <w:r w:rsidR="00C3760A" w:rsidRPr="003F631F">
        <w:rPr>
          <w:b/>
          <w:color w:val="000000"/>
          <w:spacing w:val="-3"/>
        </w:rPr>
        <w:t xml:space="preserve">ВОПРОСЫ И ОТВЕТЫ ПО </w:t>
      </w:r>
      <w:r w:rsidR="00823B69">
        <w:rPr>
          <w:b/>
          <w:color w:val="000000"/>
          <w:spacing w:val="-3"/>
        </w:rPr>
        <w:t>ПРИБОРАМ УЧЕТА</w:t>
      </w:r>
    </w:p>
    <w:p w:rsidR="00483512" w:rsidRPr="003F631F" w:rsidRDefault="00483512" w:rsidP="00AA658C">
      <w:pPr>
        <w:jc w:val="both"/>
        <w:rPr>
          <w:color w:val="000000"/>
          <w:spacing w:val="-3"/>
        </w:rPr>
      </w:pPr>
    </w:p>
    <w:p w:rsidR="00483512" w:rsidRPr="0031592B" w:rsidRDefault="00483512" w:rsidP="00AA658C">
      <w:pPr>
        <w:ind w:firstLine="708"/>
        <w:jc w:val="both"/>
        <w:rPr>
          <w:b/>
          <w:i/>
          <w:color w:val="000000"/>
          <w:spacing w:val="-1"/>
        </w:rPr>
      </w:pPr>
      <w:r w:rsidRPr="0031592B">
        <w:rPr>
          <w:b/>
          <w:i/>
          <w:color w:val="000000"/>
          <w:spacing w:val="-3"/>
        </w:rPr>
        <w:t xml:space="preserve">Кто должен установить приборы учёта в первую </w:t>
      </w:r>
      <w:r w:rsidRPr="0031592B">
        <w:rPr>
          <w:b/>
          <w:i/>
          <w:color w:val="000000"/>
          <w:spacing w:val="-1"/>
        </w:rPr>
        <w:t>очередь (какие потребители)?</w:t>
      </w:r>
    </w:p>
    <w:p w:rsidR="00483512" w:rsidRPr="000807AA" w:rsidRDefault="00483512" w:rsidP="00AA658C">
      <w:pPr>
        <w:ind w:firstLine="708"/>
        <w:jc w:val="both"/>
      </w:pPr>
      <w:r w:rsidRPr="000807AA">
        <w:rPr>
          <w:color w:val="000000"/>
          <w:spacing w:val="-1"/>
        </w:rPr>
        <w:t xml:space="preserve">До    1    января.2011г.   -   органы    государственной    власти,    местного </w:t>
      </w:r>
      <w:r w:rsidRPr="000807AA">
        <w:rPr>
          <w:color w:val="000000"/>
          <w:spacing w:val="1"/>
        </w:rPr>
        <w:t xml:space="preserve">самоуправления, обеспечивают завершение проведения мероприятий по </w:t>
      </w:r>
      <w:r w:rsidRPr="000807AA">
        <w:rPr>
          <w:color w:val="000000"/>
          <w:spacing w:val="-1"/>
        </w:rPr>
        <w:t xml:space="preserve">оснащению      зданий,      строений,      сооружений,      находящихся      в государственной   или   муниципальной   собственности   по   оснащению приборами учета используемых ресурсов. </w:t>
      </w:r>
      <w:r w:rsidRPr="000807AA">
        <w:rPr>
          <w:color w:val="000000"/>
          <w:spacing w:val="1"/>
        </w:rPr>
        <w:t xml:space="preserve">До 1 июля 2012 года собственники жилых помещений в МКД обязаны </w:t>
      </w:r>
      <w:r w:rsidR="003F35D9" w:rsidRPr="000807AA">
        <w:rPr>
          <w:color w:val="000000"/>
          <w:spacing w:val="1"/>
        </w:rPr>
        <w:t xml:space="preserve">обеспечить </w:t>
      </w:r>
      <w:r w:rsidR="003F35D9" w:rsidRPr="000807AA">
        <w:rPr>
          <w:color w:val="000000"/>
        </w:rPr>
        <w:t>оснащение</w:t>
      </w:r>
      <w:r w:rsidRPr="000807AA">
        <w:rPr>
          <w:color w:val="000000"/>
        </w:rPr>
        <w:t xml:space="preserve">     коллективными      (</w:t>
      </w:r>
      <w:proofErr w:type="spellStart"/>
      <w:r w:rsidRPr="000807AA">
        <w:rPr>
          <w:color w:val="000000"/>
        </w:rPr>
        <w:t>общедомовыми</w:t>
      </w:r>
      <w:proofErr w:type="spellEnd"/>
      <w:r w:rsidRPr="000807AA">
        <w:rPr>
          <w:color w:val="000000"/>
        </w:rPr>
        <w:t xml:space="preserve">)      приборами      учета </w:t>
      </w:r>
      <w:r w:rsidRPr="000807AA">
        <w:rPr>
          <w:color w:val="000000"/>
          <w:spacing w:val="5"/>
        </w:rPr>
        <w:t xml:space="preserve">используемых энергетических ресурсов, а также индивидуальными и </w:t>
      </w:r>
      <w:r w:rsidRPr="000807AA">
        <w:rPr>
          <w:color w:val="000000"/>
          <w:spacing w:val="2"/>
        </w:rPr>
        <w:t xml:space="preserve">общими (для коммунальной квартиры) приборами учета используемых </w:t>
      </w:r>
      <w:r w:rsidRPr="000807AA">
        <w:rPr>
          <w:color w:val="000000"/>
          <w:spacing w:val="-1"/>
        </w:rPr>
        <w:t xml:space="preserve">воды, электрической энергии. </w:t>
      </w:r>
      <w:r w:rsidRPr="000807AA">
        <w:rPr>
          <w:color w:val="000000"/>
          <w:spacing w:val="3"/>
        </w:rPr>
        <w:t xml:space="preserve">Исключения: Ветхие, аварийные объекты, объекты, подлежащие сносу </w:t>
      </w:r>
      <w:r w:rsidRPr="000807AA">
        <w:rPr>
          <w:color w:val="000000"/>
        </w:rPr>
        <w:t>или капитальному ремонту до 01.01.2013г.</w:t>
      </w:r>
      <w:r w:rsidR="003F35D9" w:rsidRPr="000807AA">
        <w:rPr>
          <w:color w:val="000000"/>
        </w:rPr>
        <w:t>, а также объекты,</w:t>
      </w:r>
      <w:r w:rsidR="00473454" w:rsidRPr="000807AA">
        <w:rPr>
          <w:color w:val="000000"/>
        </w:rPr>
        <w:t xml:space="preserve">   </w:t>
      </w:r>
      <w:r w:rsidR="00473454" w:rsidRPr="000807AA">
        <w:t xml:space="preserve">а также объекты, мощность потребления электрической энергии которых составляет менее чем пять киловатт (в отношении организации учета используемой электрической энергии) или максимальный объем потребления тепловой </w:t>
      </w:r>
      <w:proofErr w:type="gramStart"/>
      <w:r w:rsidR="00473454" w:rsidRPr="000807AA">
        <w:t>энергии</w:t>
      </w:r>
      <w:proofErr w:type="gramEnd"/>
      <w:r w:rsidR="00473454" w:rsidRPr="000807AA">
        <w:t xml:space="preserve"> которых составляет менее чем две десятых </w:t>
      </w:r>
      <w:proofErr w:type="spellStart"/>
      <w:r w:rsidR="00473454" w:rsidRPr="000807AA">
        <w:t>гигакалории</w:t>
      </w:r>
      <w:proofErr w:type="spellEnd"/>
      <w:r w:rsidR="00473454" w:rsidRPr="000807AA">
        <w:t xml:space="preserve"> в час (в отношении организации учета используемой тепловой энергии).</w:t>
      </w:r>
    </w:p>
    <w:p w:rsidR="00C06F8F" w:rsidRDefault="00C06F8F" w:rsidP="00AA658C">
      <w:pPr>
        <w:ind w:firstLine="708"/>
        <w:jc w:val="both"/>
        <w:rPr>
          <w:b/>
          <w:i/>
          <w:color w:val="000000"/>
          <w:spacing w:val="-1"/>
        </w:rPr>
      </w:pPr>
    </w:p>
    <w:p w:rsidR="00483512" w:rsidRPr="0031592B" w:rsidRDefault="00483512" w:rsidP="00AA658C">
      <w:pPr>
        <w:ind w:firstLine="708"/>
        <w:jc w:val="both"/>
        <w:rPr>
          <w:b/>
          <w:i/>
        </w:rPr>
      </w:pPr>
      <w:r w:rsidRPr="0031592B">
        <w:rPr>
          <w:b/>
          <w:i/>
          <w:color w:val="000000"/>
          <w:spacing w:val="-1"/>
        </w:rPr>
        <w:t xml:space="preserve">Кто должен устанавливать приборы учёта, если </w:t>
      </w:r>
      <w:r w:rsidRPr="0031592B">
        <w:rPr>
          <w:b/>
          <w:i/>
          <w:color w:val="000000"/>
          <w:spacing w:val="-2"/>
        </w:rPr>
        <w:t xml:space="preserve">собственник в виду разных причин не сделал это </w:t>
      </w:r>
      <w:r w:rsidRPr="0031592B">
        <w:rPr>
          <w:b/>
          <w:i/>
          <w:color w:val="000000"/>
          <w:spacing w:val="-1"/>
        </w:rPr>
        <w:t>за свой счёт?</w:t>
      </w:r>
    </w:p>
    <w:p w:rsidR="00483512" w:rsidRPr="000807AA" w:rsidRDefault="00483512" w:rsidP="00AA658C">
      <w:pPr>
        <w:ind w:firstLine="708"/>
        <w:jc w:val="both"/>
        <w:rPr>
          <w:color w:val="000000"/>
          <w:spacing w:val="2"/>
        </w:rPr>
      </w:pPr>
      <w:proofErr w:type="gramStart"/>
      <w:r w:rsidRPr="000807AA">
        <w:rPr>
          <w:color w:val="000000"/>
          <w:spacing w:val="4"/>
        </w:rPr>
        <w:t xml:space="preserve">Организации, которые осуществляют снабжение водой, природным </w:t>
      </w:r>
      <w:r w:rsidRPr="000807AA">
        <w:rPr>
          <w:color w:val="000000"/>
        </w:rPr>
        <w:t xml:space="preserve">газом,     тепловой     энергией,     электрической     энергией     объектов, </w:t>
      </w:r>
      <w:r w:rsidRPr="000807AA">
        <w:rPr>
          <w:color w:val="000000"/>
          <w:spacing w:val="-1"/>
        </w:rPr>
        <w:t xml:space="preserve">подлежащих оснащению приборами учёта используемых энергетических </w:t>
      </w:r>
      <w:r w:rsidRPr="000807AA">
        <w:rPr>
          <w:color w:val="000000"/>
          <w:spacing w:val="1"/>
        </w:rPr>
        <w:t xml:space="preserve">ресурсов,  обязаны  осуществлять  деятельность  по  установке,  замене, </w:t>
      </w:r>
      <w:r w:rsidRPr="000807AA">
        <w:rPr>
          <w:color w:val="000000"/>
          <w:spacing w:val="-1"/>
        </w:rPr>
        <w:t xml:space="preserve">эксплуатации       </w:t>
      </w:r>
      <w:r w:rsidRPr="000807AA">
        <w:rPr>
          <w:bCs/>
          <w:color w:val="000000"/>
          <w:spacing w:val="-1"/>
        </w:rPr>
        <w:t>общедомовых</w:t>
      </w:r>
      <w:r w:rsidRPr="000807AA">
        <w:rPr>
          <w:b/>
          <w:bCs/>
          <w:color w:val="000000"/>
          <w:spacing w:val="-1"/>
        </w:rPr>
        <w:t xml:space="preserve">       </w:t>
      </w:r>
      <w:r w:rsidRPr="000807AA">
        <w:rPr>
          <w:color w:val="000000"/>
          <w:spacing w:val="-1"/>
        </w:rPr>
        <w:t xml:space="preserve">приборов       учета       используемых </w:t>
      </w:r>
      <w:r w:rsidRPr="000807AA">
        <w:rPr>
          <w:color w:val="000000"/>
          <w:spacing w:val="4"/>
        </w:rPr>
        <w:t xml:space="preserve">энергетических ресурсов, снабжение которыми или передачу которых </w:t>
      </w:r>
      <w:r w:rsidRPr="000807AA">
        <w:rPr>
          <w:color w:val="000000"/>
          <w:spacing w:val="-1"/>
        </w:rPr>
        <w:t>они    осуществляют.</w:t>
      </w:r>
      <w:proofErr w:type="gramEnd"/>
      <w:r w:rsidRPr="000807AA">
        <w:rPr>
          <w:color w:val="000000"/>
          <w:spacing w:val="-1"/>
        </w:rPr>
        <w:t xml:space="preserve">    Указанные    организации    не    вправе    отказать </w:t>
      </w:r>
      <w:r w:rsidRPr="000807AA">
        <w:rPr>
          <w:color w:val="000000"/>
          <w:spacing w:val="3"/>
        </w:rPr>
        <w:t xml:space="preserve">обратившимся  к  ним лицам  в заключение договора,  регулирующего </w:t>
      </w:r>
      <w:r w:rsidRPr="000807AA">
        <w:rPr>
          <w:color w:val="000000"/>
          <w:spacing w:val="-1"/>
        </w:rPr>
        <w:t xml:space="preserve">условия установки, замены и (или) эксплуатации общедомовых приборов </w:t>
      </w:r>
      <w:r w:rsidRPr="000807AA">
        <w:rPr>
          <w:color w:val="000000"/>
          <w:spacing w:val="1"/>
        </w:rPr>
        <w:t xml:space="preserve">учета используемых энергетических ресурсов, снабжение которыми или передачу     которых    они     осуществляют.     Цена    такого    договора </w:t>
      </w:r>
      <w:r w:rsidRPr="000807AA">
        <w:rPr>
          <w:color w:val="000000"/>
          <w:spacing w:val="-1"/>
        </w:rPr>
        <w:t xml:space="preserve">определяется соглашением сторон. </w:t>
      </w:r>
      <w:r w:rsidRPr="000807AA">
        <w:rPr>
          <w:color w:val="000000"/>
          <w:spacing w:val="8"/>
        </w:rPr>
        <w:t xml:space="preserve">В  качестве заказчика по договору об установке (замене)  и  (или) </w:t>
      </w:r>
      <w:r w:rsidRPr="000807AA">
        <w:rPr>
          <w:color w:val="000000"/>
        </w:rPr>
        <w:t xml:space="preserve">эксплуатации       коллективных       приборов       учета       используемых энергетических   ресурсов   может   выступать   лицо,   ответственное   за </w:t>
      </w:r>
      <w:r w:rsidRPr="000807AA">
        <w:rPr>
          <w:color w:val="000000"/>
          <w:spacing w:val="1"/>
        </w:rPr>
        <w:t xml:space="preserve">содержание     общего     имущества     собственников     помещений     в многоквартирном    доме,    либо    лицо,     представляющее     интересы собственников жилых (дачных, садовых) домов, объединенных общими </w:t>
      </w:r>
      <w:r w:rsidRPr="000807AA">
        <w:rPr>
          <w:color w:val="000000"/>
        </w:rPr>
        <w:t>сетями инженерно-технического обеспечения.</w:t>
      </w:r>
      <w:r w:rsidR="00C41CAD">
        <w:rPr>
          <w:color w:val="000000"/>
        </w:rPr>
        <w:t xml:space="preserve"> Таковыми могут являться либо управляющая компания, либо организация</w:t>
      </w:r>
      <w:r w:rsidR="007E2C0C">
        <w:rPr>
          <w:color w:val="000000"/>
        </w:rPr>
        <w:t xml:space="preserve"> или индивидуальный </w:t>
      </w:r>
      <w:r w:rsidR="00297AAB">
        <w:rPr>
          <w:color w:val="000000"/>
        </w:rPr>
        <w:t>предприниматель</w:t>
      </w:r>
      <w:r w:rsidR="007E2C0C">
        <w:rPr>
          <w:color w:val="000000"/>
        </w:rPr>
        <w:t xml:space="preserve">, ответственные за надлежащие </w:t>
      </w:r>
      <w:r w:rsidR="005C2C8A">
        <w:rPr>
          <w:color w:val="000000"/>
        </w:rPr>
        <w:t xml:space="preserve">содержание </w:t>
      </w:r>
      <w:proofErr w:type="spellStart"/>
      <w:r w:rsidR="005C2C8A">
        <w:rPr>
          <w:color w:val="000000"/>
        </w:rPr>
        <w:t>общедомового</w:t>
      </w:r>
      <w:proofErr w:type="spellEnd"/>
      <w:r w:rsidR="005C2C8A">
        <w:rPr>
          <w:color w:val="000000"/>
        </w:rPr>
        <w:t xml:space="preserve"> имущества, в т</w:t>
      </w:r>
      <w:proofErr w:type="gramStart"/>
      <w:r w:rsidR="005C2C8A">
        <w:rPr>
          <w:color w:val="000000"/>
        </w:rPr>
        <w:t>.</w:t>
      </w:r>
      <w:r w:rsidR="00297AAB">
        <w:rPr>
          <w:color w:val="000000"/>
        </w:rPr>
        <w:t>ч</w:t>
      </w:r>
      <w:proofErr w:type="gramEnd"/>
      <w:r w:rsidR="00297AAB">
        <w:rPr>
          <w:color w:val="000000"/>
        </w:rPr>
        <w:t xml:space="preserve"> внутридомовых сетей.</w:t>
      </w:r>
      <w:r w:rsidRPr="000807AA">
        <w:rPr>
          <w:color w:val="000000"/>
        </w:rPr>
        <w:t xml:space="preserve"> </w:t>
      </w:r>
      <w:r w:rsidRPr="000807AA">
        <w:rPr>
          <w:color w:val="000000"/>
          <w:spacing w:val="4"/>
        </w:rPr>
        <w:t xml:space="preserve">Долевые расходы на установку общедомовых приборов учета несут </w:t>
      </w:r>
      <w:r w:rsidRPr="000807AA">
        <w:rPr>
          <w:color w:val="000000"/>
          <w:spacing w:val="2"/>
        </w:rPr>
        <w:t>собственники    жилых    помещений,    в    зависимости    от    площади принадлежащих им жилых помещений.</w:t>
      </w:r>
    </w:p>
    <w:p w:rsidR="00483512" w:rsidRPr="000807AA" w:rsidRDefault="00483512" w:rsidP="00AA658C">
      <w:pPr>
        <w:jc w:val="both"/>
        <w:rPr>
          <w:color w:val="000000"/>
          <w:spacing w:val="2"/>
        </w:rPr>
      </w:pPr>
    </w:p>
    <w:p w:rsidR="003D0A3C" w:rsidRDefault="00483512" w:rsidP="00AA658C">
      <w:pPr>
        <w:shd w:val="clear" w:color="auto" w:fill="FFFFFF"/>
        <w:spacing w:line="259" w:lineRule="exact"/>
        <w:ind w:left="5" w:firstLine="703"/>
        <w:jc w:val="both"/>
        <w:rPr>
          <w:b/>
          <w:i/>
          <w:color w:val="000000"/>
          <w:spacing w:val="-1"/>
        </w:rPr>
      </w:pPr>
      <w:r w:rsidRPr="003D0A3C">
        <w:rPr>
          <w:b/>
          <w:i/>
          <w:color w:val="000000"/>
          <w:spacing w:val="2"/>
        </w:rPr>
        <w:t xml:space="preserve">Есть  ли  льготы   на  установку  счетчиков  для </w:t>
      </w:r>
      <w:r w:rsidRPr="003D0A3C">
        <w:rPr>
          <w:b/>
          <w:i/>
          <w:color w:val="000000"/>
          <w:spacing w:val="-1"/>
        </w:rPr>
        <w:t>отдельных категорий граждан?</w:t>
      </w:r>
    </w:p>
    <w:p w:rsidR="00483512" w:rsidRPr="000807AA" w:rsidRDefault="00483512" w:rsidP="00AA658C">
      <w:pPr>
        <w:shd w:val="clear" w:color="auto" w:fill="FFFFFF"/>
        <w:spacing w:line="259" w:lineRule="exact"/>
        <w:ind w:left="5" w:firstLine="703"/>
        <w:jc w:val="both"/>
      </w:pPr>
      <w:proofErr w:type="gramStart"/>
      <w:r w:rsidRPr="000807AA">
        <w:rPr>
          <w:color w:val="000000"/>
          <w:spacing w:val="2"/>
        </w:rPr>
        <w:t xml:space="preserve">В настоящее время, никаким категориям населения законодательно </w:t>
      </w:r>
      <w:r w:rsidRPr="000807AA">
        <w:rPr>
          <w:color w:val="000000"/>
        </w:rPr>
        <w:t xml:space="preserve">не определено льгот, но предусмотрено, что за счет средств бюджета </w:t>
      </w:r>
      <w:r w:rsidRPr="000807AA">
        <w:rPr>
          <w:color w:val="000000"/>
          <w:spacing w:val="-1"/>
        </w:rPr>
        <w:t xml:space="preserve">субъекта Российской Федерации, местного бюджета может быть оказана </w:t>
      </w:r>
      <w:r w:rsidRPr="000807AA">
        <w:rPr>
          <w:color w:val="000000"/>
          <w:spacing w:val="1"/>
        </w:rPr>
        <w:t xml:space="preserve">поддержка отдельным категориям потребителей путем выделения им средств на установку приборов учета используемых энергетических, а </w:t>
      </w:r>
      <w:r w:rsidRPr="000807AA">
        <w:rPr>
          <w:color w:val="000000"/>
          <w:spacing w:val="-1"/>
        </w:rPr>
        <w:t xml:space="preserve">также рассрочка по оплате за установку прибора учёта сроком до 5 лет, </w:t>
      </w:r>
      <w:r w:rsidRPr="000807AA">
        <w:rPr>
          <w:color w:val="000000"/>
        </w:rPr>
        <w:t>согласно договора с организацией установившей прибор учёта.</w:t>
      </w:r>
      <w:proofErr w:type="gramEnd"/>
    </w:p>
    <w:p w:rsidR="00483512" w:rsidRPr="000807AA" w:rsidRDefault="00483512" w:rsidP="00AA658C">
      <w:pPr>
        <w:shd w:val="clear" w:color="auto" w:fill="FFFFFF"/>
        <w:spacing w:line="259" w:lineRule="exact"/>
        <w:ind w:left="5"/>
        <w:jc w:val="both"/>
      </w:pPr>
    </w:p>
    <w:p w:rsidR="00483512" w:rsidRPr="000807AA" w:rsidRDefault="00483512" w:rsidP="00AA658C">
      <w:pPr>
        <w:ind w:firstLine="708"/>
        <w:jc w:val="both"/>
      </w:pPr>
      <w:r w:rsidRPr="003D0A3C">
        <w:rPr>
          <w:b/>
          <w:i/>
          <w:color w:val="000000"/>
          <w:spacing w:val="-1"/>
        </w:rPr>
        <w:t xml:space="preserve">Каким   требованиям   должны   соответствовать </w:t>
      </w:r>
      <w:r w:rsidRPr="003D0A3C">
        <w:rPr>
          <w:b/>
          <w:i/>
          <w:color w:val="000000"/>
        </w:rPr>
        <w:t xml:space="preserve">приборы учёта и что необходимо потребовать у </w:t>
      </w:r>
      <w:r w:rsidRPr="003D0A3C">
        <w:rPr>
          <w:b/>
          <w:i/>
          <w:color w:val="000000"/>
          <w:spacing w:val="-1"/>
        </w:rPr>
        <w:t>продавца или монтажной организации?</w:t>
      </w:r>
    </w:p>
    <w:p w:rsidR="00675F83" w:rsidRDefault="00483512" w:rsidP="00AA658C">
      <w:pPr>
        <w:shd w:val="clear" w:color="auto" w:fill="FFFFFF"/>
        <w:spacing w:line="254" w:lineRule="exact"/>
        <w:ind w:firstLine="708"/>
        <w:jc w:val="both"/>
      </w:pPr>
      <w:r w:rsidRPr="000807AA">
        <w:rPr>
          <w:color w:val="000000"/>
          <w:spacing w:val="6"/>
        </w:rPr>
        <w:t xml:space="preserve">1. Прибор учета должен иметь сертификат утвержденного типа </w:t>
      </w:r>
      <w:r w:rsidRPr="000807AA">
        <w:rPr>
          <w:color w:val="000000"/>
          <w:spacing w:val="-1"/>
        </w:rPr>
        <w:t xml:space="preserve">Госстандарта России и должен быть зарегистрирован в Государственном </w:t>
      </w:r>
      <w:r w:rsidRPr="000807AA">
        <w:rPr>
          <w:color w:val="000000"/>
          <w:spacing w:val="1"/>
        </w:rPr>
        <w:t>реестре  средств измерений.</w:t>
      </w:r>
    </w:p>
    <w:p w:rsidR="00483512" w:rsidRPr="000807AA" w:rsidRDefault="00483512" w:rsidP="00AA658C">
      <w:pPr>
        <w:shd w:val="clear" w:color="auto" w:fill="FFFFFF"/>
        <w:spacing w:line="254" w:lineRule="exact"/>
        <w:ind w:firstLine="708"/>
        <w:jc w:val="both"/>
      </w:pPr>
      <w:r w:rsidRPr="000807AA">
        <w:rPr>
          <w:color w:val="000000"/>
          <w:spacing w:val="3"/>
        </w:rPr>
        <w:lastRenderedPageBreak/>
        <w:t xml:space="preserve">2. </w:t>
      </w:r>
      <w:r w:rsidR="009F50FB">
        <w:rPr>
          <w:color w:val="000000"/>
          <w:spacing w:val="3"/>
        </w:rPr>
        <w:t xml:space="preserve">Необходимо </w:t>
      </w:r>
      <w:r w:rsidR="00722A88">
        <w:rPr>
          <w:color w:val="000000"/>
          <w:spacing w:val="3"/>
        </w:rPr>
        <w:t>убедиться, что с</w:t>
      </w:r>
      <w:r w:rsidRPr="000807AA">
        <w:rPr>
          <w:color w:val="000000"/>
          <w:spacing w:val="3"/>
        </w:rPr>
        <w:t xml:space="preserve">редства измерений </w:t>
      </w:r>
      <w:r w:rsidR="00EA39A6">
        <w:rPr>
          <w:color w:val="000000"/>
          <w:spacing w:val="3"/>
        </w:rPr>
        <w:t xml:space="preserve">перед установкой </w:t>
      </w:r>
      <w:r w:rsidRPr="000807AA">
        <w:rPr>
          <w:color w:val="000000"/>
          <w:spacing w:val="3"/>
        </w:rPr>
        <w:t xml:space="preserve"> опломбированы органами </w:t>
      </w:r>
      <w:r w:rsidR="00EA39A6">
        <w:rPr>
          <w:color w:val="000000"/>
          <w:spacing w:val="-1"/>
        </w:rPr>
        <w:t xml:space="preserve">метрологической службы и имеют </w:t>
      </w:r>
      <w:r w:rsidRPr="000807AA">
        <w:rPr>
          <w:color w:val="000000"/>
          <w:spacing w:val="-1"/>
        </w:rPr>
        <w:t xml:space="preserve"> действующую отметку (печать) о государственной поверке.</w:t>
      </w:r>
    </w:p>
    <w:p w:rsidR="00483512" w:rsidRPr="000807AA" w:rsidRDefault="00483512" w:rsidP="00AA658C">
      <w:pPr>
        <w:shd w:val="clear" w:color="auto" w:fill="FFFFFF"/>
        <w:spacing w:line="254" w:lineRule="exact"/>
        <w:ind w:firstLine="708"/>
        <w:jc w:val="both"/>
      </w:pPr>
      <w:r w:rsidRPr="000807AA">
        <w:rPr>
          <w:color w:val="000000"/>
          <w:spacing w:val="9"/>
        </w:rPr>
        <w:t xml:space="preserve">3. Приборы учета, у которых истек срок действия поверки, не </w:t>
      </w:r>
      <w:r w:rsidRPr="000807AA">
        <w:rPr>
          <w:color w:val="000000"/>
        </w:rPr>
        <w:t xml:space="preserve">допускаются к эксплуатации в качестве расчетных. Приборы учета, у </w:t>
      </w:r>
      <w:r w:rsidRPr="000807AA">
        <w:rPr>
          <w:color w:val="000000"/>
          <w:spacing w:val="1"/>
        </w:rPr>
        <w:t xml:space="preserve">которых истек срок действия сертификации, а также исключенные из </w:t>
      </w:r>
      <w:r w:rsidRPr="000807AA">
        <w:rPr>
          <w:color w:val="000000"/>
          <w:spacing w:val="7"/>
        </w:rPr>
        <w:t xml:space="preserve">реестра средств измерений, но выпущенные в период действия </w:t>
      </w:r>
      <w:r w:rsidRPr="000807AA">
        <w:rPr>
          <w:color w:val="000000"/>
          <w:spacing w:val="-1"/>
        </w:rPr>
        <w:t xml:space="preserve">сертификата могут применяться при наличии действующего клейма </w:t>
      </w:r>
      <w:r w:rsidR="00EA39A6">
        <w:rPr>
          <w:color w:val="000000"/>
          <w:spacing w:val="-1"/>
        </w:rPr>
        <w:t xml:space="preserve">о </w:t>
      </w:r>
      <w:r w:rsidRPr="000807AA">
        <w:rPr>
          <w:color w:val="000000"/>
          <w:spacing w:val="-1"/>
        </w:rPr>
        <w:t>государственной поверке.</w:t>
      </w:r>
    </w:p>
    <w:p w:rsidR="00483512" w:rsidRPr="000807AA" w:rsidRDefault="00483512" w:rsidP="00AA658C">
      <w:pPr>
        <w:ind w:firstLine="708"/>
        <w:jc w:val="both"/>
        <w:rPr>
          <w:color w:val="000000"/>
          <w:spacing w:val="-1"/>
        </w:rPr>
      </w:pPr>
      <w:r w:rsidRPr="000807AA">
        <w:rPr>
          <w:color w:val="000000"/>
          <w:spacing w:val="-1"/>
        </w:rPr>
        <w:t xml:space="preserve">4. Проектирование, монтаж и эксплуатация счетчиков производится в </w:t>
      </w:r>
      <w:r w:rsidRPr="000807AA">
        <w:rPr>
          <w:color w:val="000000"/>
        </w:rPr>
        <w:t xml:space="preserve">соответствии с требованиями нормативно - технических документов </w:t>
      </w:r>
      <w:r w:rsidRPr="000807AA">
        <w:rPr>
          <w:color w:val="000000"/>
          <w:spacing w:val="12"/>
        </w:rPr>
        <w:t xml:space="preserve">Госстандарта России, Госстроя России, </w:t>
      </w:r>
      <w:proofErr w:type="spellStart"/>
      <w:r w:rsidRPr="000807AA">
        <w:rPr>
          <w:color w:val="000000"/>
          <w:spacing w:val="12"/>
        </w:rPr>
        <w:t>Госэнергонадзора</w:t>
      </w:r>
      <w:proofErr w:type="spellEnd"/>
      <w:r w:rsidRPr="000807AA">
        <w:rPr>
          <w:color w:val="000000"/>
          <w:spacing w:val="12"/>
        </w:rPr>
        <w:t xml:space="preserve"> и </w:t>
      </w:r>
      <w:r w:rsidRPr="000807AA">
        <w:rPr>
          <w:color w:val="000000"/>
          <w:spacing w:val="-1"/>
        </w:rPr>
        <w:t>инструкциями изготовителей средств измерений, с учетом специфики устанавливаемых приборов учета.</w:t>
      </w:r>
    </w:p>
    <w:p w:rsidR="00483512" w:rsidRPr="000807AA" w:rsidRDefault="00483512" w:rsidP="00AA658C">
      <w:pPr>
        <w:jc w:val="both"/>
        <w:rPr>
          <w:color w:val="000000"/>
          <w:spacing w:val="-1"/>
        </w:rPr>
      </w:pPr>
    </w:p>
    <w:p w:rsidR="00483512" w:rsidRPr="000807AA" w:rsidRDefault="00483512" w:rsidP="00AA658C">
      <w:pPr>
        <w:ind w:firstLine="708"/>
        <w:jc w:val="both"/>
        <w:rPr>
          <w:color w:val="000000"/>
          <w:spacing w:val="-1"/>
        </w:rPr>
      </w:pPr>
      <w:r w:rsidRPr="003D0A3C">
        <w:rPr>
          <w:b/>
          <w:i/>
          <w:color w:val="000000"/>
          <w:spacing w:val="9"/>
        </w:rPr>
        <w:t xml:space="preserve">Кто имеет право проводить работы по </w:t>
      </w:r>
      <w:r w:rsidRPr="003D0A3C">
        <w:rPr>
          <w:b/>
          <w:i/>
          <w:color w:val="000000"/>
          <w:spacing w:val="-1"/>
        </w:rPr>
        <w:t>периодической поверке приборов учета?</w:t>
      </w:r>
    </w:p>
    <w:p w:rsidR="00483512" w:rsidRPr="000807AA" w:rsidRDefault="00483512" w:rsidP="00AA658C">
      <w:pPr>
        <w:ind w:firstLine="708"/>
        <w:jc w:val="both"/>
      </w:pPr>
      <w:r w:rsidRPr="000807AA">
        <w:rPr>
          <w:color w:val="000000"/>
        </w:rPr>
        <w:t xml:space="preserve">На территории Волгоградской области государственным органом по </w:t>
      </w:r>
      <w:r w:rsidRPr="000807AA">
        <w:rPr>
          <w:color w:val="000000"/>
          <w:spacing w:val="3"/>
        </w:rPr>
        <w:t xml:space="preserve">метрологии является Федеральное государственное учреждение "Волгоградский центр стандартизации, метрологии и сертификации" </w:t>
      </w:r>
      <w:r w:rsidRPr="000807AA">
        <w:rPr>
          <w:color w:val="000000"/>
          <w:spacing w:val="-2"/>
        </w:rPr>
        <w:t xml:space="preserve">(ФГУ "Волгоградский ЦСМ"), который и проводит поверку с установкой </w:t>
      </w:r>
      <w:r w:rsidRPr="000807AA">
        <w:rPr>
          <w:color w:val="000000"/>
          <w:spacing w:val="1"/>
        </w:rPr>
        <w:t xml:space="preserve">пломбы </w:t>
      </w:r>
      <w:proofErr w:type="spellStart"/>
      <w:r w:rsidRPr="000807AA">
        <w:rPr>
          <w:color w:val="000000"/>
          <w:spacing w:val="1"/>
        </w:rPr>
        <w:t>госповерителя</w:t>
      </w:r>
      <w:proofErr w:type="spellEnd"/>
      <w:r w:rsidRPr="000807AA">
        <w:rPr>
          <w:color w:val="000000"/>
          <w:spacing w:val="1"/>
        </w:rPr>
        <w:t>.</w:t>
      </w:r>
    </w:p>
    <w:p w:rsidR="00483512" w:rsidRPr="000807AA" w:rsidRDefault="00483512" w:rsidP="00AA658C">
      <w:pPr>
        <w:jc w:val="both"/>
      </w:pPr>
    </w:p>
    <w:p w:rsidR="00483512" w:rsidRPr="00D82ACB" w:rsidRDefault="00483512" w:rsidP="00AA658C">
      <w:pPr>
        <w:shd w:val="clear" w:color="auto" w:fill="FFFFFF"/>
        <w:spacing w:line="254" w:lineRule="exact"/>
        <w:ind w:firstLine="708"/>
        <w:jc w:val="both"/>
        <w:rPr>
          <w:b/>
          <w:i/>
        </w:rPr>
      </w:pPr>
      <w:r w:rsidRPr="00D82ACB">
        <w:rPr>
          <w:b/>
          <w:i/>
          <w:color w:val="000000"/>
          <w:spacing w:val="-1"/>
        </w:rPr>
        <w:t xml:space="preserve">Кто имеет право производить обслуживание </w:t>
      </w:r>
      <w:r w:rsidRPr="00D82ACB">
        <w:rPr>
          <w:b/>
          <w:i/>
          <w:color w:val="000000"/>
          <w:spacing w:val="-2"/>
        </w:rPr>
        <w:t xml:space="preserve">приборов учета, снимать показания, выдавать </w:t>
      </w:r>
      <w:r w:rsidRPr="00D82ACB">
        <w:rPr>
          <w:b/>
          <w:i/>
          <w:color w:val="000000"/>
          <w:spacing w:val="-1"/>
        </w:rPr>
        <w:t>заключение о не пригодности?</w:t>
      </w:r>
    </w:p>
    <w:p w:rsidR="00483512" w:rsidRPr="000807AA" w:rsidRDefault="00483512" w:rsidP="00AA658C">
      <w:pPr>
        <w:ind w:firstLine="708"/>
        <w:jc w:val="both"/>
        <w:rPr>
          <w:color w:val="000000"/>
          <w:spacing w:val="-2"/>
        </w:rPr>
      </w:pPr>
      <w:proofErr w:type="spellStart"/>
      <w:r w:rsidRPr="000807AA">
        <w:rPr>
          <w:color w:val="000000"/>
          <w:spacing w:val="-2"/>
        </w:rPr>
        <w:t>Энергоснабжающая</w:t>
      </w:r>
      <w:proofErr w:type="spellEnd"/>
      <w:r w:rsidRPr="000807AA">
        <w:rPr>
          <w:color w:val="000000"/>
          <w:spacing w:val="-2"/>
        </w:rPr>
        <w:t xml:space="preserve"> организация и/или управл</w:t>
      </w:r>
      <w:r w:rsidR="00650B61">
        <w:rPr>
          <w:color w:val="000000"/>
          <w:spacing w:val="-2"/>
        </w:rPr>
        <w:t>яющая организация (ТСЖ, ЖСК</w:t>
      </w:r>
      <w:r w:rsidRPr="000807AA">
        <w:rPr>
          <w:color w:val="000000"/>
          <w:spacing w:val="-2"/>
        </w:rPr>
        <w:t>).</w:t>
      </w:r>
    </w:p>
    <w:p w:rsidR="00483512" w:rsidRPr="000807AA" w:rsidRDefault="00483512" w:rsidP="00AA658C">
      <w:pPr>
        <w:jc w:val="both"/>
        <w:rPr>
          <w:color w:val="000000"/>
          <w:spacing w:val="-2"/>
        </w:rPr>
      </w:pPr>
    </w:p>
    <w:p w:rsidR="00483512" w:rsidRPr="00D82ACB" w:rsidRDefault="00483512" w:rsidP="00AA658C">
      <w:pPr>
        <w:ind w:firstLine="708"/>
        <w:jc w:val="both"/>
        <w:rPr>
          <w:b/>
          <w:i/>
          <w:color w:val="000000"/>
          <w:spacing w:val="-2"/>
        </w:rPr>
      </w:pPr>
      <w:r w:rsidRPr="00D82ACB">
        <w:rPr>
          <w:b/>
          <w:i/>
          <w:color w:val="000000"/>
        </w:rPr>
        <w:t xml:space="preserve">Кто несет ответственность за сохранность </w:t>
      </w:r>
      <w:r w:rsidRPr="00D82ACB">
        <w:rPr>
          <w:b/>
          <w:i/>
          <w:color w:val="000000"/>
          <w:spacing w:val="-1"/>
        </w:rPr>
        <w:t>и целостность пломб установленных на общедомовых приборах учета?</w:t>
      </w:r>
    </w:p>
    <w:p w:rsidR="00483512" w:rsidRDefault="00483512" w:rsidP="00AA658C">
      <w:pPr>
        <w:ind w:firstLine="708"/>
        <w:jc w:val="both"/>
        <w:rPr>
          <w:color w:val="000000"/>
        </w:rPr>
      </w:pPr>
      <w:r w:rsidRPr="000807AA">
        <w:rPr>
          <w:color w:val="000000"/>
          <w:spacing w:val="1"/>
        </w:rPr>
        <w:t xml:space="preserve">Владелец    объекта    (Управляющая    компания,    при    отсутствии    </w:t>
      </w:r>
      <w:proofErr w:type="gramStart"/>
      <w:r w:rsidRPr="000807AA">
        <w:rPr>
          <w:color w:val="000000"/>
          <w:spacing w:val="1"/>
        </w:rPr>
        <w:t>-</w:t>
      </w:r>
      <w:r w:rsidRPr="000807AA">
        <w:rPr>
          <w:color w:val="000000"/>
          <w:spacing w:val="5"/>
        </w:rPr>
        <w:t>с</w:t>
      </w:r>
      <w:proofErr w:type="gramEnd"/>
      <w:r w:rsidRPr="000807AA">
        <w:rPr>
          <w:color w:val="000000"/>
          <w:spacing w:val="5"/>
        </w:rPr>
        <w:t xml:space="preserve">обственники квартир), на котором установлен данный прибор учета, </w:t>
      </w:r>
      <w:r w:rsidRPr="000807AA">
        <w:rPr>
          <w:color w:val="000000"/>
        </w:rPr>
        <w:t>обеспечивает его сохранность, целостность и обслуживание.</w:t>
      </w:r>
    </w:p>
    <w:p w:rsidR="00E654DE" w:rsidRPr="000807AA" w:rsidRDefault="00E654DE" w:rsidP="00AA658C">
      <w:pPr>
        <w:ind w:firstLine="708"/>
        <w:jc w:val="both"/>
      </w:pPr>
    </w:p>
    <w:p w:rsidR="00483512" w:rsidRPr="00D82ACB" w:rsidRDefault="00483512" w:rsidP="00AA658C">
      <w:pPr>
        <w:ind w:firstLine="708"/>
        <w:jc w:val="both"/>
        <w:rPr>
          <w:b/>
          <w:i/>
          <w:color w:val="000000"/>
          <w:spacing w:val="-1"/>
        </w:rPr>
      </w:pPr>
      <w:r w:rsidRPr="00D82ACB">
        <w:rPr>
          <w:b/>
          <w:i/>
          <w:color w:val="000000"/>
          <w:spacing w:val="-1"/>
        </w:rPr>
        <w:t xml:space="preserve">Порядок действий при обнаружении нарушения </w:t>
      </w:r>
      <w:r w:rsidRPr="00D82ACB">
        <w:rPr>
          <w:b/>
          <w:i/>
          <w:color w:val="000000"/>
          <w:spacing w:val="-2"/>
        </w:rPr>
        <w:t xml:space="preserve">целостности  пломб,  неисправности </w:t>
      </w:r>
      <w:r w:rsidRPr="00D82ACB">
        <w:rPr>
          <w:b/>
          <w:i/>
          <w:color w:val="000000"/>
          <w:spacing w:val="-1"/>
        </w:rPr>
        <w:t>общедомовых приборов учёта?</w:t>
      </w:r>
    </w:p>
    <w:p w:rsidR="00483512" w:rsidRPr="000807AA" w:rsidRDefault="00483512" w:rsidP="00AA658C">
      <w:pPr>
        <w:ind w:firstLine="708"/>
        <w:jc w:val="both"/>
      </w:pPr>
      <w:r w:rsidRPr="000807AA">
        <w:rPr>
          <w:color w:val="000000"/>
          <w:spacing w:val="1"/>
        </w:rPr>
        <w:t xml:space="preserve">Совместно   с   представителями   </w:t>
      </w:r>
      <w:proofErr w:type="spellStart"/>
      <w:r w:rsidRPr="000807AA">
        <w:rPr>
          <w:color w:val="000000"/>
          <w:spacing w:val="1"/>
        </w:rPr>
        <w:t>энергоснабжающей</w:t>
      </w:r>
      <w:proofErr w:type="spellEnd"/>
      <w:r w:rsidRPr="000807AA">
        <w:rPr>
          <w:color w:val="000000"/>
          <w:spacing w:val="1"/>
        </w:rPr>
        <w:t xml:space="preserve">   и   управляющей </w:t>
      </w:r>
      <w:r w:rsidRPr="000807AA">
        <w:rPr>
          <w:color w:val="000000"/>
          <w:spacing w:val="2"/>
        </w:rPr>
        <w:t xml:space="preserve">организации  составляется  акт  о  выходе  из  строя  прибора  учета.   В </w:t>
      </w:r>
      <w:r w:rsidRPr="000807AA">
        <w:rPr>
          <w:color w:val="000000"/>
          <w:spacing w:val="1"/>
        </w:rPr>
        <w:t xml:space="preserve">соответствии с указанным актом оплата за потребленные энергоресурсы </w:t>
      </w:r>
      <w:r w:rsidRPr="000807AA">
        <w:rPr>
          <w:color w:val="000000"/>
        </w:rPr>
        <w:t>осуществляется в соответствии с нормативным потреблением.</w:t>
      </w:r>
    </w:p>
    <w:p w:rsidR="00483512" w:rsidRPr="000807AA" w:rsidRDefault="00483512" w:rsidP="00AA658C">
      <w:pPr>
        <w:jc w:val="both"/>
      </w:pPr>
    </w:p>
    <w:p w:rsidR="00483512" w:rsidRPr="009251C5" w:rsidRDefault="00483512" w:rsidP="00AA658C">
      <w:pPr>
        <w:shd w:val="clear" w:color="auto" w:fill="FFFFFF"/>
        <w:spacing w:before="5" w:line="250" w:lineRule="exact"/>
        <w:ind w:left="5" w:firstLine="703"/>
        <w:jc w:val="both"/>
        <w:rPr>
          <w:b/>
          <w:i/>
        </w:rPr>
      </w:pPr>
      <w:r w:rsidRPr="009251C5">
        <w:rPr>
          <w:b/>
          <w:i/>
          <w:color w:val="000000"/>
          <w:spacing w:val="2"/>
        </w:rPr>
        <w:t xml:space="preserve">Какие   затраты   возникают   по   эксплуатации </w:t>
      </w:r>
      <w:r w:rsidRPr="009251C5">
        <w:rPr>
          <w:b/>
          <w:i/>
          <w:color w:val="000000"/>
          <w:spacing w:val="-2"/>
        </w:rPr>
        <w:t>приборов учёта?</w:t>
      </w:r>
    </w:p>
    <w:p w:rsidR="00473454" w:rsidRPr="000807AA" w:rsidRDefault="00483512" w:rsidP="00AA658C">
      <w:pPr>
        <w:shd w:val="clear" w:color="auto" w:fill="FFFFFF"/>
        <w:spacing w:line="250" w:lineRule="exact"/>
        <w:ind w:left="5" w:firstLine="535"/>
        <w:jc w:val="both"/>
        <w:rPr>
          <w:u w:val="single"/>
        </w:rPr>
      </w:pPr>
      <w:r w:rsidRPr="000807AA">
        <w:rPr>
          <w:color w:val="000000"/>
          <w:spacing w:val="3"/>
        </w:rPr>
        <w:t xml:space="preserve">Это будут техническое обслуживание и поверка (поэтому при покупке </w:t>
      </w:r>
      <w:r w:rsidRPr="000807AA">
        <w:rPr>
          <w:color w:val="000000"/>
        </w:rPr>
        <w:t xml:space="preserve">следует обращать внимание на величину </w:t>
      </w:r>
      <w:proofErr w:type="spellStart"/>
      <w:r w:rsidRPr="000807AA">
        <w:rPr>
          <w:color w:val="000000"/>
        </w:rPr>
        <w:t>межповерочного</w:t>
      </w:r>
      <w:proofErr w:type="spellEnd"/>
      <w:r w:rsidRPr="000807AA">
        <w:rPr>
          <w:color w:val="000000"/>
        </w:rPr>
        <w:t xml:space="preserve"> интервала).</w:t>
      </w:r>
    </w:p>
    <w:p w:rsidR="00483512" w:rsidRPr="000807AA" w:rsidRDefault="00483512" w:rsidP="00AA658C">
      <w:pPr>
        <w:jc w:val="both"/>
      </w:pPr>
    </w:p>
    <w:p w:rsidR="00473454" w:rsidRPr="000807AA" w:rsidRDefault="00473454" w:rsidP="00AA658C">
      <w:pPr>
        <w:widowControl w:val="0"/>
        <w:autoSpaceDE w:val="0"/>
        <w:autoSpaceDN w:val="0"/>
        <w:adjustRightInd w:val="0"/>
        <w:ind w:firstLine="540"/>
        <w:jc w:val="both"/>
      </w:pPr>
      <w:r w:rsidRPr="008C5107">
        <w:rPr>
          <w:b/>
          <w:i/>
        </w:rPr>
        <w:t>Имеет ли право УК, ТСЖ и т. п. требовать оплату за установку (замену) приборов учета?</w:t>
      </w:r>
    </w:p>
    <w:p w:rsidR="00473454" w:rsidRPr="000807AA" w:rsidRDefault="00473454" w:rsidP="00AA658C">
      <w:pPr>
        <w:widowControl w:val="0"/>
        <w:autoSpaceDE w:val="0"/>
        <w:autoSpaceDN w:val="0"/>
        <w:adjustRightInd w:val="0"/>
        <w:ind w:firstLine="540"/>
        <w:jc w:val="both"/>
      </w:pPr>
      <w:r w:rsidRPr="000807AA">
        <w:t>Имеет право, если данное решение о взимании платы по договору на установку (замену) приборов учета принято на общем собрании собственников помещений в многоквартирном доме и в размере той суммы, которая определена договором и одобрена общим собранием.</w:t>
      </w:r>
    </w:p>
    <w:p w:rsidR="00473454" w:rsidRPr="000807AA" w:rsidRDefault="00473454" w:rsidP="00AA658C">
      <w:pPr>
        <w:widowControl w:val="0"/>
        <w:autoSpaceDE w:val="0"/>
        <w:autoSpaceDN w:val="0"/>
        <w:adjustRightInd w:val="0"/>
        <w:ind w:firstLine="540"/>
        <w:jc w:val="both"/>
      </w:pPr>
      <w:r w:rsidRPr="000807AA">
        <w:t xml:space="preserve">При обсуждении суммы такого договора следует иметь </w:t>
      </w:r>
      <w:proofErr w:type="gramStart"/>
      <w:r w:rsidRPr="000807AA">
        <w:t>ввиду</w:t>
      </w:r>
      <w:proofErr w:type="gramEnd"/>
      <w:r w:rsidRPr="000807AA">
        <w:t xml:space="preserve"> следующее:</w:t>
      </w:r>
    </w:p>
    <w:p w:rsidR="00473454" w:rsidRPr="000807AA" w:rsidRDefault="00473454" w:rsidP="00AA658C">
      <w:pPr>
        <w:widowControl w:val="0"/>
        <w:autoSpaceDE w:val="0"/>
        <w:autoSpaceDN w:val="0"/>
        <w:adjustRightInd w:val="0"/>
        <w:ind w:firstLine="540"/>
        <w:jc w:val="both"/>
      </w:pPr>
      <w:r w:rsidRPr="000807AA">
        <w:t xml:space="preserve">В соответствии с </w:t>
      </w:r>
      <w:hyperlink r:id="rId8" w:history="1">
        <w:r w:rsidRPr="000807AA">
          <w:rPr>
            <w:color w:val="0000FF"/>
          </w:rPr>
          <w:t>п. 5 ст. 13</w:t>
        </w:r>
      </w:hyperlink>
      <w:r w:rsidRPr="000807AA">
        <w:t xml:space="preserve"> Закона N 261-ФЗ собственники помещений в многоквартирных домах обязаны были оснастить свои дома и ввести в эксплуатацию общедомовые приборы учета (ОПУ) воды, тепловой и электрической энергии, а также индивидуальные приборы учета (ИПУ) воды и электрической энергии в срок до 01.07.2012. </w:t>
      </w:r>
    </w:p>
    <w:p w:rsidR="00473454" w:rsidRPr="000807AA" w:rsidRDefault="00473454" w:rsidP="00AA658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0807AA">
        <w:t xml:space="preserve">Если же решение на общем собрании собственников помещений в МКД не принято (формально собственники, конечно же, могут отказаться от проведения работ капитального </w:t>
      </w:r>
      <w:r w:rsidRPr="000807AA">
        <w:lastRenderedPageBreak/>
        <w:t>характера в виде установки ОПУ и оснащения своих квартир ИПУ), но, в силу закона, они обязаны оснастить свои дома приборами учета, то принятие отрицательного решения всего лишь отодвинет момент "</w:t>
      </w:r>
      <w:proofErr w:type="spellStart"/>
      <w:r w:rsidRPr="000807AA">
        <w:t>оприборивания</w:t>
      </w:r>
      <w:proofErr w:type="spellEnd"/>
      <w:r w:rsidRPr="000807AA">
        <w:t>".</w:t>
      </w:r>
      <w:proofErr w:type="gramEnd"/>
      <w:r w:rsidRPr="000807AA">
        <w:t xml:space="preserve"> С 01.07.2012 вплоть до 01.07.2013 указанные приборы учета подлежат принудительной установке (</w:t>
      </w:r>
      <w:hyperlink r:id="rId9" w:history="1">
        <w:r w:rsidRPr="000807AA">
          <w:rPr>
            <w:color w:val="0000FF"/>
          </w:rPr>
          <w:t>п. 12 ст. 13</w:t>
        </w:r>
      </w:hyperlink>
      <w:r w:rsidRPr="000807AA">
        <w:t xml:space="preserve"> Закона N 261-ФЗ). </w:t>
      </w:r>
    </w:p>
    <w:p w:rsidR="00473454" w:rsidRPr="000807AA" w:rsidRDefault="00473454" w:rsidP="00AA658C">
      <w:pPr>
        <w:widowControl w:val="0"/>
        <w:autoSpaceDE w:val="0"/>
        <w:autoSpaceDN w:val="0"/>
        <w:adjustRightInd w:val="0"/>
        <w:ind w:firstLine="540"/>
        <w:jc w:val="both"/>
      </w:pPr>
      <w:r w:rsidRPr="000807AA">
        <w:t>В силу общих требований Закона действия по установке, замене, эксплуатации ОПУ и ИПУ вправе осуществлять лица, отвечающие требованиям, установленным законодательством РФ (</w:t>
      </w:r>
      <w:hyperlink r:id="rId10" w:history="1">
        <w:r w:rsidRPr="000807AA">
          <w:rPr>
            <w:color w:val="0000FF"/>
          </w:rPr>
          <w:t>п. 8 ст. 13</w:t>
        </w:r>
      </w:hyperlink>
      <w:r w:rsidRPr="000807AA">
        <w:t xml:space="preserve"> Закона N 261-ФЗ). Речь идет о специализированных компаниях, имеющих допуск к выполнению конкретных работ на инженерных сетях дома. Одновременно осуществление деятельности по установке, замене, эксплуатации приборов учета используемых энергетических ресурсов вменено </w:t>
      </w:r>
      <w:hyperlink r:id="rId11" w:history="1">
        <w:r w:rsidRPr="000807AA">
          <w:rPr>
            <w:color w:val="0000FF"/>
          </w:rPr>
          <w:t>п. 9 ст. 13</w:t>
        </w:r>
      </w:hyperlink>
      <w:r w:rsidRPr="000807AA">
        <w:t xml:space="preserve"> Закона N 261-ФЗ в обязанности </w:t>
      </w:r>
      <w:proofErr w:type="spellStart"/>
      <w:r w:rsidRPr="000807AA">
        <w:t>ресурсоснабжающей</w:t>
      </w:r>
      <w:proofErr w:type="spellEnd"/>
      <w:r w:rsidRPr="000807AA">
        <w:t xml:space="preserve"> организации (РСО). Эти субъекты и будут между собой </w:t>
      </w:r>
      <w:proofErr w:type="gramStart"/>
      <w:r w:rsidRPr="000807AA">
        <w:t>устанавливать условия</w:t>
      </w:r>
      <w:proofErr w:type="gramEnd"/>
      <w:r w:rsidRPr="000807AA">
        <w:t xml:space="preserve"> оснащения многоквартирных домов приборами учета потребляемых коммунальных ресурсов. Задача собственников – обеспечить допуск в помещение и оплатить их услуги в порядке, установленном законодательством, а именно, с пятилетней рассрочкой и с учетом процентов (</w:t>
      </w:r>
      <w:hyperlink r:id="rId12" w:history="1">
        <w:r w:rsidRPr="000807AA">
          <w:rPr>
            <w:color w:val="0000FF"/>
          </w:rPr>
          <w:t>п. 12 ст. 13</w:t>
        </w:r>
      </w:hyperlink>
      <w:r w:rsidRPr="000807AA">
        <w:t xml:space="preserve"> Закона N 261-ФЗ).</w:t>
      </w:r>
    </w:p>
    <w:p w:rsidR="00473454" w:rsidRPr="000807AA" w:rsidRDefault="00473454" w:rsidP="00AA658C">
      <w:pPr>
        <w:widowControl w:val="0"/>
        <w:autoSpaceDE w:val="0"/>
        <w:autoSpaceDN w:val="0"/>
        <w:adjustRightInd w:val="0"/>
        <w:ind w:firstLine="540"/>
        <w:jc w:val="both"/>
      </w:pPr>
      <w:r w:rsidRPr="000807AA">
        <w:t xml:space="preserve">Счета на оплату расходов на установку ОПУ с указанием общего размера расходов на установку такого прибора учета и доли расходов на установку такого прибора учета, бремя которых несет собственник помещения, выставляются собственникам помещений </w:t>
      </w:r>
      <w:proofErr w:type="spellStart"/>
      <w:r w:rsidRPr="000807AA">
        <w:t>ресурсоснабжающими</w:t>
      </w:r>
      <w:proofErr w:type="spellEnd"/>
      <w:r w:rsidRPr="000807AA">
        <w:t xml:space="preserve"> компаниями. Доля расходов на установку ОПУ, бремя которых несет собственник помещения, определяется исходя из его доли в праве общей собственности на общее имущество (в зависимости от площади помещения).</w:t>
      </w:r>
    </w:p>
    <w:p w:rsidR="00473454" w:rsidRPr="000807AA" w:rsidRDefault="00473454" w:rsidP="00AA658C">
      <w:pPr>
        <w:widowControl w:val="0"/>
        <w:autoSpaceDE w:val="0"/>
        <w:autoSpaceDN w:val="0"/>
        <w:adjustRightInd w:val="0"/>
        <w:ind w:firstLine="540"/>
        <w:jc w:val="both"/>
      </w:pPr>
      <w:r w:rsidRPr="000807AA">
        <w:t xml:space="preserve">При несогласии с указанным в счете размером расходов на установку ОПУ и (или) отнесенной на него долей расходов собственник помещения вправе обратиться в РСО с разногласиями, а при </w:t>
      </w:r>
      <w:proofErr w:type="spellStart"/>
      <w:r w:rsidRPr="000807AA">
        <w:t>неурегулировании</w:t>
      </w:r>
      <w:proofErr w:type="spellEnd"/>
      <w:r w:rsidRPr="000807AA">
        <w:t xml:space="preserve"> разногласий вправе обжаловать выставленный счет в порядке, установленном законодательством РФ.</w:t>
      </w:r>
    </w:p>
    <w:p w:rsidR="00473454" w:rsidRPr="000807AA" w:rsidRDefault="00473454" w:rsidP="00AA658C">
      <w:pPr>
        <w:widowControl w:val="0"/>
        <w:autoSpaceDE w:val="0"/>
        <w:autoSpaceDN w:val="0"/>
        <w:adjustRightInd w:val="0"/>
        <w:ind w:firstLine="540"/>
        <w:jc w:val="both"/>
      </w:pPr>
    </w:p>
    <w:p w:rsidR="00473454" w:rsidRPr="000807AA" w:rsidRDefault="00473454" w:rsidP="00AA658C">
      <w:pPr>
        <w:widowControl w:val="0"/>
        <w:autoSpaceDE w:val="0"/>
        <w:autoSpaceDN w:val="0"/>
        <w:adjustRightInd w:val="0"/>
        <w:ind w:firstLine="708"/>
        <w:jc w:val="both"/>
      </w:pPr>
      <w:r w:rsidRPr="008C5107">
        <w:rPr>
          <w:b/>
          <w:i/>
        </w:rPr>
        <w:t>За чей счет осуществляется опломбировка индивидуального прибора учета? Что значит «ввод в эксплуатацию» прибора учета? Кто несет расходы по выполнению данных работ?</w:t>
      </w:r>
    </w:p>
    <w:p w:rsidR="00473454" w:rsidRPr="000807AA" w:rsidRDefault="00473454" w:rsidP="00AA658C">
      <w:pPr>
        <w:autoSpaceDE w:val="0"/>
        <w:autoSpaceDN w:val="0"/>
        <w:adjustRightInd w:val="0"/>
        <w:ind w:firstLine="540"/>
        <w:jc w:val="both"/>
      </w:pPr>
      <w:r w:rsidRPr="000807AA">
        <w:t>В настоящее время широко распространена практика установки пломб на индивидуальных приборах учета электрической энергии, холодной и горячей воды, управляющими компаниями или РСО за дополнительную плату. Также потребителя часто понуждают оплатить услуги по составлению акта о вводе прибора учета в эксплуатацию. Как правило, это происходит при установке ИПУ по договору собственника помещений с третьими лицами (не с управляющими компаниями и не с РСО), причем даже тогда, когда эти специализированные организации дают соответствующее заключение (акт) о вводе прибора учета в эксплуатацию.</w:t>
      </w:r>
    </w:p>
    <w:p w:rsidR="00473454" w:rsidRPr="000807AA" w:rsidRDefault="00473454" w:rsidP="00AA658C">
      <w:pPr>
        <w:autoSpaceDE w:val="0"/>
        <w:autoSpaceDN w:val="0"/>
        <w:adjustRightInd w:val="0"/>
        <w:ind w:firstLine="540"/>
        <w:jc w:val="both"/>
      </w:pPr>
      <w:r w:rsidRPr="000807AA">
        <w:t>Об опломбировании приборов учета:</w:t>
      </w:r>
    </w:p>
    <w:p w:rsidR="00473454" w:rsidRPr="000807AA" w:rsidRDefault="00473454" w:rsidP="00AA658C">
      <w:pPr>
        <w:autoSpaceDE w:val="0"/>
        <w:autoSpaceDN w:val="0"/>
        <w:adjustRightInd w:val="0"/>
        <w:ind w:firstLine="540"/>
        <w:jc w:val="both"/>
      </w:pPr>
      <w:r w:rsidRPr="000807AA">
        <w:t xml:space="preserve">Действия управляющих организаций и ТСЖ по установке собственных пломб и взиманию за это дополнительной платы (навязыванию потребителям дополнительной платной услуги по опломбированию приборов учета, </w:t>
      </w:r>
      <w:proofErr w:type="spellStart"/>
      <w:r w:rsidRPr="000807AA">
        <w:t>обусловливанию</w:t>
      </w:r>
      <w:proofErr w:type="spellEnd"/>
      <w:r w:rsidRPr="000807AA">
        <w:t xml:space="preserve"> регистрации приборов учета потребителей их обязательным платным опломбированием) суды признают противоправными (например, решение Ленинского районного суда </w:t>
      </w:r>
      <w:proofErr w:type="gramStart"/>
      <w:r w:rsidRPr="000807AA">
        <w:t>г</w:t>
      </w:r>
      <w:proofErr w:type="gramEnd"/>
      <w:r w:rsidRPr="000807AA">
        <w:t>. Саратова от 05.02.2008 г.).</w:t>
      </w:r>
    </w:p>
    <w:p w:rsidR="00473454" w:rsidRPr="000807AA" w:rsidRDefault="00473454" w:rsidP="00AA658C">
      <w:pPr>
        <w:ind w:firstLine="540"/>
        <w:jc w:val="both"/>
      </w:pPr>
      <w:r w:rsidRPr="000807AA">
        <w:t xml:space="preserve">Между тем в отношении действий </w:t>
      </w:r>
      <w:proofErr w:type="spellStart"/>
      <w:r w:rsidRPr="000807AA">
        <w:t>ресурсоснабжающих</w:t>
      </w:r>
      <w:proofErr w:type="spellEnd"/>
      <w:r w:rsidRPr="000807AA">
        <w:t xml:space="preserve"> организаций по навязыванию потребителям дополнительной платной услуги по опломбированию установленных у них приборов учета (мест их присоединения) судебная практика не однозначна. </w:t>
      </w:r>
      <w:proofErr w:type="gramStart"/>
      <w:r w:rsidRPr="000807AA">
        <w:t xml:space="preserve">В одних случаях суды признают данные действия противоправными, соглашаясь с мнением органов Федеральной антимонопольной службы РФ, согласно которому такие действия являются противоправными, приводящими к ущемлению прав граждан-потребителей коммунальных услуг (например, кассационное определение Пензенского областного суда от 03.06.2008 г. по делу №33-1004), в других случаях – нарушений законодательства в этом не усматривают </w:t>
      </w:r>
      <w:r w:rsidRPr="000807AA">
        <w:lastRenderedPageBreak/>
        <w:t>(например, Постановлением ФАС Северо-Западного округа от 21 сентября 2010 г</w:t>
      </w:r>
      <w:proofErr w:type="gramEnd"/>
      <w:r w:rsidRPr="000807AA">
        <w:t xml:space="preserve">. по делу N А66-3776/2009). </w:t>
      </w:r>
    </w:p>
    <w:p w:rsidR="00473454" w:rsidRPr="000807AA" w:rsidRDefault="00473454" w:rsidP="00AA658C">
      <w:pPr>
        <w:ind w:firstLine="540"/>
        <w:jc w:val="both"/>
      </w:pPr>
      <w:r w:rsidRPr="000807AA">
        <w:t>В связи с чем считаем, будет правильным ориентироваться на то, что необходимость опломбирования устанавливается техническим паспортом на установленный прибор учета.</w:t>
      </w:r>
    </w:p>
    <w:p w:rsidR="00473454" w:rsidRPr="000807AA" w:rsidRDefault="00473454" w:rsidP="00AA658C">
      <w:pPr>
        <w:ind w:firstLine="540"/>
        <w:jc w:val="both"/>
      </w:pPr>
    </w:p>
    <w:p w:rsidR="00473454" w:rsidRPr="000807AA" w:rsidRDefault="00473454" w:rsidP="00AA658C">
      <w:pPr>
        <w:jc w:val="both"/>
      </w:pPr>
      <w:r w:rsidRPr="000807AA">
        <w:t>О вводе приборов учета в эксплуатацию:</w:t>
      </w:r>
    </w:p>
    <w:p w:rsidR="00473454" w:rsidRPr="000807AA" w:rsidRDefault="00473454" w:rsidP="00AA658C">
      <w:pPr>
        <w:autoSpaceDE w:val="0"/>
        <w:autoSpaceDN w:val="0"/>
        <w:adjustRightInd w:val="0"/>
        <w:ind w:firstLine="708"/>
        <w:jc w:val="both"/>
      </w:pPr>
      <w:r w:rsidRPr="000807AA">
        <w:t xml:space="preserve">Ввод в эксплуатацию приборов учета– </w:t>
      </w:r>
      <w:proofErr w:type="gramStart"/>
      <w:r w:rsidRPr="000807AA">
        <w:t>эт</w:t>
      </w:r>
      <w:proofErr w:type="gramEnd"/>
      <w:r w:rsidRPr="000807AA">
        <w:t>о документально оформленная в установленном порядке готовность средства измерений к использованию по назначению (ст.2 Федеральный закон от 26.06.2008 N 102-ФЗ (ред. от 28.07.2012)"Об обеспечении единства измерений").</w:t>
      </w:r>
    </w:p>
    <w:p w:rsidR="00473454" w:rsidRPr="000807AA" w:rsidRDefault="00473454" w:rsidP="00AA658C">
      <w:pPr>
        <w:ind w:firstLine="708"/>
        <w:jc w:val="both"/>
      </w:pPr>
      <w:r w:rsidRPr="000807AA">
        <w:t>То есть целью ввода прибора учета в эксплуатацию является документальное оформление соответствия установленного прибора учета (впервые установленного, установленного после ремонта, поверки, замены) требованиям законодательства. Следовательно, при вводе прибора учета в эксплуатацию проверяется, в том числе, и наличие пломбы на этом приборе учета (и на месте присоединения к сети в установленных случаях), как одно из требований законодательства к средствам измерений, которые могут быть допущены к применению.</w:t>
      </w:r>
    </w:p>
    <w:p w:rsidR="00473454" w:rsidRPr="000807AA" w:rsidRDefault="00473454" w:rsidP="00AA658C">
      <w:pPr>
        <w:ind w:firstLine="708"/>
        <w:jc w:val="both"/>
      </w:pPr>
      <w:proofErr w:type="gramStart"/>
      <w:r w:rsidRPr="000807AA">
        <w:t xml:space="preserve">Действия по вводу в эксплуатацию приборов учета должен осуществлять исполнитель коммунальных услуг (поставщик коммунальных ресурсов в отсутствие исполнителя) (либо уполномоченное или привлеченное им лицо) в счет платы за услуги по управлению многоквартирным домом (если исполнитель коммунальных услуг – управляющая организация) или платы за коммунальные услуги (при прямых отношениях с </w:t>
      </w:r>
      <w:proofErr w:type="spellStart"/>
      <w:r w:rsidRPr="000807AA">
        <w:t>ресурсоснабжающей</w:t>
      </w:r>
      <w:proofErr w:type="spellEnd"/>
      <w:r w:rsidRPr="000807AA">
        <w:t xml:space="preserve"> организацией), поскольку приборы учета используются обеими сторонами договора (управления либо на</w:t>
      </w:r>
      <w:proofErr w:type="gramEnd"/>
      <w:r w:rsidRPr="000807AA">
        <w:t xml:space="preserve"> предоставление коммунальных услуг) в целях коммерческого учета и оплаты потребителями (собственниками приборов учета) предоставленных им исполнителем коммунальных услуг. То есть действия исполнителя коммунальных услуг (поставщика коммунальных ресурсов) по вводу приборов учета в эксплуатацию должны осуществляться без заключения на это отдельного договора и без взимания за это дополнительной платы.</w:t>
      </w:r>
    </w:p>
    <w:p w:rsidR="00473454" w:rsidRPr="000807AA" w:rsidRDefault="00473454" w:rsidP="00AA658C">
      <w:pPr>
        <w:autoSpaceDE w:val="0"/>
        <w:autoSpaceDN w:val="0"/>
        <w:adjustRightInd w:val="0"/>
        <w:ind w:firstLine="540"/>
        <w:jc w:val="both"/>
      </w:pPr>
      <w:r w:rsidRPr="000807AA">
        <w:t>Закон не позволяет однозначно ответить на вопрос о правомерности взимания с собственников помещений в МКД платы за пломбирование мест присоединения ИПУ к внутридомовым сетям хотя бы потому, что в нормативных актах, регулирующих порядок предоставления коммунальных услуг, опущены правила установки подобных пломб. Понятно лишь то, что они должны быть. Тем не менее, наиболее логичным выглядит мнение о том, что пломбирование места установки ИПУ - это составная часть действий по его вводу в эксплуатацию. Как следует из новых Правил предоставления коммунальных услуг, ввод ИПУ в эксплуатацию (составление акта) является обязанностью исполнителя коммунальных услуг. Значит, о взимании платы за данные действия можно не говорить.</w:t>
      </w:r>
    </w:p>
    <w:p w:rsidR="00473454" w:rsidRPr="000807AA" w:rsidRDefault="00473454" w:rsidP="00AA658C">
      <w:pPr>
        <w:autoSpaceDE w:val="0"/>
        <w:autoSpaceDN w:val="0"/>
        <w:adjustRightInd w:val="0"/>
        <w:ind w:firstLine="540"/>
        <w:jc w:val="both"/>
      </w:pPr>
      <w:r w:rsidRPr="000807AA">
        <w:t xml:space="preserve">При этом следует помнить и о другой позиции, которая находит </w:t>
      </w:r>
      <w:proofErr w:type="gramStart"/>
      <w:r w:rsidRPr="000807AA">
        <w:t>подтверждение</w:t>
      </w:r>
      <w:proofErr w:type="gramEnd"/>
      <w:r w:rsidRPr="000807AA">
        <w:t xml:space="preserve"> в том числе в судебной практике: пломбирование является услугой, не предусмотренной договором управления и подлежащей оплате. Однако выбирать компанию, которая будет оказывать данную услугу, потребитель вправе по своему усмотрению.</w:t>
      </w:r>
    </w:p>
    <w:p w:rsidR="00473454" w:rsidRPr="000807AA" w:rsidRDefault="00473454" w:rsidP="00AA658C">
      <w:pPr>
        <w:jc w:val="both"/>
      </w:pPr>
    </w:p>
    <w:p w:rsidR="00D4492C" w:rsidRPr="000807AA" w:rsidRDefault="00D4492C" w:rsidP="00AA658C">
      <w:pPr>
        <w:jc w:val="both"/>
      </w:pPr>
    </w:p>
    <w:p w:rsidR="009F663C" w:rsidRPr="000807AA" w:rsidRDefault="009F663C" w:rsidP="00AA658C">
      <w:pPr>
        <w:jc w:val="both"/>
      </w:pPr>
    </w:p>
    <w:sectPr w:rsidR="009F663C" w:rsidRPr="000807AA" w:rsidSect="009E12D4">
      <w:footerReference w:type="default" r:id="rId13"/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10C" w:rsidRDefault="00A7710C" w:rsidP="008144B4">
      <w:r>
        <w:separator/>
      </w:r>
    </w:p>
  </w:endnote>
  <w:endnote w:type="continuationSeparator" w:id="0">
    <w:p w:rsidR="00A7710C" w:rsidRDefault="00A7710C" w:rsidP="00814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26563"/>
      <w:docPartObj>
        <w:docPartGallery w:val="Page Numbers (Bottom of Page)"/>
        <w:docPartUnique/>
      </w:docPartObj>
    </w:sdtPr>
    <w:sdtContent>
      <w:p w:rsidR="00015B3A" w:rsidRDefault="00986581">
        <w:pPr>
          <w:pStyle w:val="a9"/>
          <w:jc w:val="center"/>
        </w:pPr>
        <w:fldSimple w:instr=" PAGE   \* MERGEFORMAT ">
          <w:r w:rsidR="002E14AA">
            <w:rPr>
              <w:noProof/>
            </w:rPr>
            <w:t>1</w:t>
          </w:r>
        </w:fldSimple>
      </w:p>
    </w:sdtContent>
  </w:sdt>
  <w:p w:rsidR="00015B3A" w:rsidRDefault="00015B3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10C" w:rsidRDefault="00A7710C" w:rsidP="008144B4">
      <w:r>
        <w:separator/>
      </w:r>
    </w:p>
  </w:footnote>
  <w:footnote w:type="continuationSeparator" w:id="0">
    <w:p w:rsidR="00A7710C" w:rsidRDefault="00A7710C" w:rsidP="008144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350A"/>
    <w:multiLevelType w:val="hybridMultilevel"/>
    <w:tmpl w:val="1F462D26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70612"/>
    <w:multiLevelType w:val="hybridMultilevel"/>
    <w:tmpl w:val="27DCAEA0"/>
    <w:lvl w:ilvl="0" w:tplc="C7BE421E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26BB145D"/>
    <w:multiLevelType w:val="hybridMultilevel"/>
    <w:tmpl w:val="EDEC1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A5717"/>
    <w:multiLevelType w:val="hybridMultilevel"/>
    <w:tmpl w:val="8C16AE62"/>
    <w:lvl w:ilvl="0" w:tplc="F6B04104">
      <w:start w:val="5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58DD6636"/>
    <w:multiLevelType w:val="hybridMultilevel"/>
    <w:tmpl w:val="D59C3AC4"/>
    <w:lvl w:ilvl="0" w:tplc="F392E370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5E32748D"/>
    <w:multiLevelType w:val="hybridMultilevel"/>
    <w:tmpl w:val="E3D4E956"/>
    <w:lvl w:ilvl="0" w:tplc="3126D8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12383"/>
    <w:multiLevelType w:val="hybridMultilevel"/>
    <w:tmpl w:val="0632218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3B"/>
    <w:rsid w:val="00015B3A"/>
    <w:rsid w:val="00016B92"/>
    <w:rsid w:val="00030BA9"/>
    <w:rsid w:val="00056FA6"/>
    <w:rsid w:val="000807AA"/>
    <w:rsid w:val="000B74DF"/>
    <w:rsid w:val="000F5F11"/>
    <w:rsid w:val="000F7098"/>
    <w:rsid w:val="00102DFA"/>
    <w:rsid w:val="0012083E"/>
    <w:rsid w:val="00141681"/>
    <w:rsid w:val="00146E1B"/>
    <w:rsid w:val="001546D9"/>
    <w:rsid w:val="00157047"/>
    <w:rsid w:val="001714EC"/>
    <w:rsid w:val="00173AD6"/>
    <w:rsid w:val="0017463E"/>
    <w:rsid w:val="00183BDE"/>
    <w:rsid w:val="00197450"/>
    <w:rsid w:val="00197CB1"/>
    <w:rsid w:val="001C2C2D"/>
    <w:rsid w:val="001E3E05"/>
    <w:rsid w:val="001F167D"/>
    <w:rsid w:val="00221481"/>
    <w:rsid w:val="00255BEB"/>
    <w:rsid w:val="002608EB"/>
    <w:rsid w:val="00275F4C"/>
    <w:rsid w:val="0028098F"/>
    <w:rsid w:val="00297AAB"/>
    <w:rsid w:val="002A5A18"/>
    <w:rsid w:val="002E14AA"/>
    <w:rsid w:val="002E1CBC"/>
    <w:rsid w:val="002E226D"/>
    <w:rsid w:val="002F092E"/>
    <w:rsid w:val="002F1313"/>
    <w:rsid w:val="002F2402"/>
    <w:rsid w:val="0030621D"/>
    <w:rsid w:val="003075EB"/>
    <w:rsid w:val="00312DDB"/>
    <w:rsid w:val="00312FD7"/>
    <w:rsid w:val="0031592B"/>
    <w:rsid w:val="00320D99"/>
    <w:rsid w:val="0032746D"/>
    <w:rsid w:val="003707B2"/>
    <w:rsid w:val="003842E8"/>
    <w:rsid w:val="003C7A06"/>
    <w:rsid w:val="003D0A3C"/>
    <w:rsid w:val="003D17EE"/>
    <w:rsid w:val="003F0F1D"/>
    <w:rsid w:val="003F35D9"/>
    <w:rsid w:val="003F631F"/>
    <w:rsid w:val="00401908"/>
    <w:rsid w:val="004045EA"/>
    <w:rsid w:val="0041051B"/>
    <w:rsid w:val="00421315"/>
    <w:rsid w:val="00437A08"/>
    <w:rsid w:val="0044117B"/>
    <w:rsid w:val="00473454"/>
    <w:rsid w:val="00483512"/>
    <w:rsid w:val="004D11C8"/>
    <w:rsid w:val="004F5BFE"/>
    <w:rsid w:val="005011F5"/>
    <w:rsid w:val="005033FD"/>
    <w:rsid w:val="00503C8F"/>
    <w:rsid w:val="00510BB7"/>
    <w:rsid w:val="0054124A"/>
    <w:rsid w:val="00551C88"/>
    <w:rsid w:val="00572634"/>
    <w:rsid w:val="0059097B"/>
    <w:rsid w:val="005B2AE8"/>
    <w:rsid w:val="005C02B7"/>
    <w:rsid w:val="005C2C8A"/>
    <w:rsid w:val="005C3A8F"/>
    <w:rsid w:val="005D77B1"/>
    <w:rsid w:val="005E0441"/>
    <w:rsid w:val="005F0C03"/>
    <w:rsid w:val="00626B4D"/>
    <w:rsid w:val="00634983"/>
    <w:rsid w:val="00650B61"/>
    <w:rsid w:val="00652C37"/>
    <w:rsid w:val="006603C7"/>
    <w:rsid w:val="00667CE0"/>
    <w:rsid w:val="0067343C"/>
    <w:rsid w:val="00675F83"/>
    <w:rsid w:val="006912B4"/>
    <w:rsid w:val="006B584D"/>
    <w:rsid w:val="006D4B84"/>
    <w:rsid w:val="006F479B"/>
    <w:rsid w:val="00703361"/>
    <w:rsid w:val="007075DE"/>
    <w:rsid w:val="00710A74"/>
    <w:rsid w:val="007163AB"/>
    <w:rsid w:val="00722A88"/>
    <w:rsid w:val="00733D1C"/>
    <w:rsid w:val="007711BD"/>
    <w:rsid w:val="00775AF9"/>
    <w:rsid w:val="00776D4A"/>
    <w:rsid w:val="007818B5"/>
    <w:rsid w:val="007A08DF"/>
    <w:rsid w:val="007C2E7A"/>
    <w:rsid w:val="007C3FA3"/>
    <w:rsid w:val="007C72E8"/>
    <w:rsid w:val="007E2C0C"/>
    <w:rsid w:val="008144B4"/>
    <w:rsid w:val="00823B69"/>
    <w:rsid w:val="00823B86"/>
    <w:rsid w:val="00825EC9"/>
    <w:rsid w:val="00832F5D"/>
    <w:rsid w:val="0084715B"/>
    <w:rsid w:val="00847423"/>
    <w:rsid w:val="00861FDE"/>
    <w:rsid w:val="00891A22"/>
    <w:rsid w:val="008B3C64"/>
    <w:rsid w:val="008C5107"/>
    <w:rsid w:val="008F0200"/>
    <w:rsid w:val="009251C5"/>
    <w:rsid w:val="00943781"/>
    <w:rsid w:val="00952BB0"/>
    <w:rsid w:val="00973102"/>
    <w:rsid w:val="00973CE4"/>
    <w:rsid w:val="00974027"/>
    <w:rsid w:val="00986581"/>
    <w:rsid w:val="009A1F57"/>
    <w:rsid w:val="009B2937"/>
    <w:rsid w:val="009B56A3"/>
    <w:rsid w:val="009C0B68"/>
    <w:rsid w:val="009E12D4"/>
    <w:rsid w:val="009E419A"/>
    <w:rsid w:val="009F50FB"/>
    <w:rsid w:val="009F663C"/>
    <w:rsid w:val="00A05FF5"/>
    <w:rsid w:val="00A064C0"/>
    <w:rsid w:val="00A10FF2"/>
    <w:rsid w:val="00A34AAB"/>
    <w:rsid w:val="00A44BFE"/>
    <w:rsid w:val="00A512BF"/>
    <w:rsid w:val="00A67AF7"/>
    <w:rsid w:val="00A7710C"/>
    <w:rsid w:val="00AA658C"/>
    <w:rsid w:val="00AC16C7"/>
    <w:rsid w:val="00AC325E"/>
    <w:rsid w:val="00AE645C"/>
    <w:rsid w:val="00B00154"/>
    <w:rsid w:val="00B010C0"/>
    <w:rsid w:val="00B22BAE"/>
    <w:rsid w:val="00B2634C"/>
    <w:rsid w:val="00B3314E"/>
    <w:rsid w:val="00B45765"/>
    <w:rsid w:val="00B53269"/>
    <w:rsid w:val="00B75D8B"/>
    <w:rsid w:val="00B86CB2"/>
    <w:rsid w:val="00BA492D"/>
    <w:rsid w:val="00BD4598"/>
    <w:rsid w:val="00C0086E"/>
    <w:rsid w:val="00C06F8F"/>
    <w:rsid w:val="00C3760A"/>
    <w:rsid w:val="00C41CAD"/>
    <w:rsid w:val="00C449A0"/>
    <w:rsid w:val="00C4627D"/>
    <w:rsid w:val="00C76DF1"/>
    <w:rsid w:val="00CA7CAD"/>
    <w:rsid w:val="00CC1352"/>
    <w:rsid w:val="00CC2909"/>
    <w:rsid w:val="00CD0869"/>
    <w:rsid w:val="00CE38B2"/>
    <w:rsid w:val="00D025EE"/>
    <w:rsid w:val="00D30E4D"/>
    <w:rsid w:val="00D4092D"/>
    <w:rsid w:val="00D4492C"/>
    <w:rsid w:val="00D60DF1"/>
    <w:rsid w:val="00D628E5"/>
    <w:rsid w:val="00D679A4"/>
    <w:rsid w:val="00D71FFF"/>
    <w:rsid w:val="00D73A53"/>
    <w:rsid w:val="00D82ACB"/>
    <w:rsid w:val="00DB2985"/>
    <w:rsid w:val="00DB391A"/>
    <w:rsid w:val="00DB6053"/>
    <w:rsid w:val="00DD05C3"/>
    <w:rsid w:val="00DD0E64"/>
    <w:rsid w:val="00DF298C"/>
    <w:rsid w:val="00E13302"/>
    <w:rsid w:val="00E33C35"/>
    <w:rsid w:val="00E654DE"/>
    <w:rsid w:val="00E73A3B"/>
    <w:rsid w:val="00EA39A6"/>
    <w:rsid w:val="00EE5EA3"/>
    <w:rsid w:val="00F12B86"/>
    <w:rsid w:val="00F27D52"/>
    <w:rsid w:val="00F45BA4"/>
    <w:rsid w:val="00F737BD"/>
    <w:rsid w:val="00F77A9A"/>
    <w:rsid w:val="00F966B8"/>
    <w:rsid w:val="00FA37DE"/>
    <w:rsid w:val="00FB0AAF"/>
    <w:rsid w:val="00FB4E09"/>
    <w:rsid w:val="00FC79AA"/>
    <w:rsid w:val="00FE25FF"/>
    <w:rsid w:val="00FE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57263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726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wpcp">
    <w:name w:val="t_wpc_p"/>
    <w:basedOn w:val="a"/>
    <w:rsid w:val="00832F5D"/>
    <w:pPr>
      <w:spacing w:before="100" w:beforeAutospacing="1" w:after="100" w:afterAutospacing="1"/>
    </w:p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D449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D4492C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6">
    <w:name w:val="Знак"/>
    <w:basedOn w:val="a"/>
    <w:rsid w:val="00D4492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D4492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A05FF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8144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44B4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144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44B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27651E7181F56F6ED678A8E2C29068A7B964001A651CFCB4B31FC75D5092AA6E91F74F302E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27651E7181F56F6ED678A8E2C29068A7B964001A651CFCB4B31FC75D5092AA6E91F74F3027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27651E7181F56F6ED678A8E2C29068A7B964001A651CFCB4B31FC75D5092AA6E91F74F3029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827651E7181F56F6ED678A8E2C29068A7B964001A651CFCB4B31FC75D5092AA6E91F74F0FF14A29322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27651E7181F56F6ED678A8E2C29068A7B964001A651CFCB4B31FC75D5092AA6E91F74F3027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032F-A002-4FA2-88EE-A20D295D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УСТАНОВЛЕНИЕ ПЛАТЫ</vt:lpstr>
    </vt:vector>
  </TitlesOfParts>
  <Company>Reanimator Extreme Edition</Company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УСТАНОВЛЕНИЕ ПЛАТЫ</dc:title>
  <dc:creator>Шевченко</dc:creator>
  <cp:lastModifiedBy>Денис</cp:lastModifiedBy>
  <cp:revision>2</cp:revision>
  <cp:lastPrinted>2013-06-14T05:01:00Z</cp:lastPrinted>
  <dcterms:created xsi:type="dcterms:W3CDTF">2013-09-02T06:00:00Z</dcterms:created>
  <dcterms:modified xsi:type="dcterms:W3CDTF">2013-09-02T06:00:00Z</dcterms:modified>
</cp:coreProperties>
</file>